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6423" w14:textId="7C76EF2B" w:rsidR="00CD0716" w:rsidRDefault="00B611A1" w:rsidP="00CD0716"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7B87" wp14:editId="79C24BB7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927860" cy="15436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86A" w:rsidRPr="007C186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Cockpit WE Bearbeiter mit Prüfliste für</w:t>
      </w:r>
      <w:r w:rsidR="007C186A" w:rsidRPr="007C186A">
        <w:rPr>
          <w:noProof/>
        </w:rPr>
        <w:t xml:space="preserve"> </w:t>
      </w:r>
      <w:r w:rsidR="007C186A" w:rsidRPr="007C186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die offenen Wareneingänge</w:t>
      </w:r>
    </w:p>
    <w:p w14:paraId="1B332E7B" w14:textId="12182A83" w:rsidR="000D0158" w:rsidRPr="00715607" w:rsidRDefault="000D0158" w:rsidP="00CD0716">
      <w:pPr>
        <w:rPr>
          <w:rStyle w:val="IntensiveHervorhebung"/>
        </w:rPr>
      </w:pPr>
      <w:r w:rsidRPr="00715607">
        <w:rPr>
          <w:rStyle w:val="IntensiveHervorhebung"/>
        </w:rPr>
        <w:t>Prüfung und Beurteilung von qualitätsrelevanten Wareneingängen.</w:t>
      </w:r>
    </w:p>
    <w:p w14:paraId="09F275D0" w14:textId="77777777" w:rsidR="000D0158" w:rsidRDefault="000D0158" w:rsidP="00CD0716"/>
    <w:p w14:paraId="4D449DE7" w14:textId="54AE9FC9" w:rsidR="007C186A" w:rsidRDefault="00CD0716" w:rsidP="00CD0716">
      <w:r>
        <w:t xml:space="preserve">Das Cockpit für den Wareneingangsprüfer zeigt </w:t>
      </w:r>
      <w:r w:rsidR="001A69AD">
        <w:t>I</w:t>
      </w:r>
      <w:r>
        <w:t>hnen eine</w:t>
      </w:r>
      <w:r w:rsidR="00DF1A2E">
        <w:t xml:space="preserve">n </w:t>
      </w:r>
      <w:r>
        <w:t xml:space="preserve">schnellen Überblick </w:t>
      </w:r>
      <w:r w:rsidR="007C186A">
        <w:t>über die Liste der zu prüfenden Wareneingänge.</w:t>
      </w:r>
    </w:p>
    <w:p w14:paraId="4252B81B" w14:textId="3CE1AA40" w:rsidR="00DE29DD" w:rsidRDefault="001E6068" w:rsidP="00CD0716">
      <w:r>
        <w:t>Sie</w:t>
      </w:r>
      <w:r w:rsidR="00DE29DD" w:rsidRPr="00DE29DD">
        <w:t xml:space="preserve"> können wichtige Kennwerte wie Termin</w:t>
      </w:r>
      <w:r w:rsidR="00DF1A2E">
        <w:t>-</w:t>
      </w:r>
      <w:r w:rsidR="00DE29DD" w:rsidRPr="00DE29DD">
        <w:t xml:space="preserve"> und Mengentreue der offenen </w:t>
      </w:r>
      <w:r>
        <w:t>E</w:t>
      </w:r>
      <w:r w:rsidR="00DE29DD" w:rsidRPr="00DE29DD">
        <w:t>ingänge</w:t>
      </w:r>
      <w:r>
        <w:t xml:space="preserve"> für die </w:t>
      </w:r>
      <w:r w:rsidR="00DE29DD" w:rsidRPr="00DE29DD">
        <w:t>Liste innerhalb der Kennzahlentafel darstellen lassen</w:t>
      </w:r>
      <w:r>
        <w:t>. D</w:t>
      </w:r>
      <w:r w:rsidR="00DE29DD" w:rsidRPr="00DE29DD">
        <w:t xml:space="preserve">amit haben Prüfer einen ersten Hinweis auf die Qualität der Lieferungen </w:t>
      </w:r>
      <w:r>
        <w:t xml:space="preserve">immer </w:t>
      </w:r>
      <w:r w:rsidR="00DE29DD" w:rsidRPr="00DE29DD">
        <w:t>sofort im Blick</w:t>
      </w:r>
      <w:r>
        <w:t>, noch</w:t>
      </w:r>
      <w:r w:rsidR="00DE29DD" w:rsidRPr="00DE29DD">
        <w:t xml:space="preserve"> bevor sie in die Prüfung gehen</w:t>
      </w:r>
      <w:r>
        <w:t>. D</w:t>
      </w:r>
      <w:r w:rsidR="00DE29DD" w:rsidRPr="00DE29DD">
        <w:t xml:space="preserve">ie Darstellung der Kennzahlen kann </w:t>
      </w:r>
      <w:r>
        <w:t>bei Bedarf</w:t>
      </w:r>
      <w:r w:rsidR="00DE29DD" w:rsidRPr="00DE29DD">
        <w:t xml:space="preserve"> ausgeblendet werden</w:t>
      </w:r>
      <w:r>
        <w:t>,</w:t>
      </w:r>
      <w:r w:rsidR="00DE29DD" w:rsidRPr="00DE29DD">
        <w:t xml:space="preserve"> falls der zusätzliche Platz für den Prüfer alleine für die Liste benötigt wird</w:t>
      </w:r>
      <w:r w:rsidR="00DE29DD">
        <w:t xml:space="preserve">. </w:t>
      </w:r>
      <w:r w:rsidR="00DF1A2E">
        <w:t>D</w:t>
      </w:r>
      <w:r w:rsidR="00DE29DD" w:rsidRPr="00DE29DD">
        <w:t xml:space="preserve">ie </w:t>
      </w:r>
      <w:r>
        <w:t>a</w:t>
      </w:r>
      <w:r w:rsidR="00DE29DD" w:rsidRPr="00DE29DD">
        <w:t xml:space="preserve">ttributiven </w:t>
      </w:r>
      <w:r>
        <w:t>Wareneingänge</w:t>
      </w:r>
      <w:r w:rsidR="00DE29DD" w:rsidRPr="00DE29DD">
        <w:t xml:space="preserve"> können mit einer Checkliste geprüft werden</w:t>
      </w:r>
      <w:r>
        <w:t>,</w:t>
      </w:r>
      <w:r w:rsidR="00DE29DD" w:rsidRPr="00DE29DD">
        <w:t xml:space="preserve"> die eine einfache Annahme der Bestätigung oder Ablehnung des Merkmals ermöglicht</w:t>
      </w:r>
      <w:r w:rsidR="00DE29DD">
        <w:t xml:space="preserve">. </w:t>
      </w:r>
      <w:r>
        <w:t xml:space="preserve"> M</w:t>
      </w:r>
      <w:r w:rsidR="00DE29DD" w:rsidRPr="00DE29DD">
        <w:t>essbare Merkmale</w:t>
      </w:r>
      <w:r>
        <w:t xml:space="preserve"> werden über </w:t>
      </w:r>
      <w:r w:rsidR="00936072">
        <w:t xml:space="preserve">die </w:t>
      </w:r>
      <w:r>
        <w:t>g</w:t>
      </w:r>
      <w:r w:rsidR="00DE29DD" w:rsidRPr="00DE29DD">
        <w:t>ewohnte</w:t>
      </w:r>
      <w:r>
        <w:t>n</w:t>
      </w:r>
      <w:r w:rsidR="00DE29DD" w:rsidRPr="00DE29DD">
        <w:t xml:space="preserve"> Prüf</w:t>
      </w:r>
      <w:r>
        <w:t>m</w:t>
      </w:r>
      <w:r w:rsidR="00DE29DD" w:rsidRPr="00DE29DD">
        <w:t>aske</w:t>
      </w:r>
      <w:r>
        <w:t xml:space="preserve">n der PDAP-Anwendung vollumfänglich </w:t>
      </w:r>
      <w:r w:rsidR="00DE29DD" w:rsidRPr="00DE29DD">
        <w:t>aufgerufen</w:t>
      </w:r>
      <w:r>
        <w:t>, inkl. S</w:t>
      </w:r>
      <w:r w:rsidR="00DE29DD" w:rsidRPr="00DE29DD">
        <w:t>pezifikations</w:t>
      </w:r>
      <w:r>
        <w:t>d</w:t>
      </w:r>
      <w:r w:rsidR="00DE29DD" w:rsidRPr="00DE29DD">
        <w:t>arstellung bis hin zur Möglichkeit Prüf</w:t>
      </w:r>
      <w:r>
        <w:t>-</w:t>
      </w:r>
      <w:r w:rsidR="00DE29DD" w:rsidRPr="00DE29DD">
        <w:t xml:space="preserve"> und Messmittel </w:t>
      </w:r>
      <w:r>
        <w:t xml:space="preserve">online </w:t>
      </w:r>
      <w:r w:rsidR="00DE29DD" w:rsidRPr="00DE29DD">
        <w:t>anbinden zu können</w:t>
      </w:r>
      <w:r w:rsidR="00DE29DD">
        <w:t xml:space="preserve">. </w:t>
      </w:r>
    </w:p>
    <w:p w14:paraId="28CCAF6B" w14:textId="34A57BEB" w:rsidR="00DE29DD" w:rsidRDefault="001E6068" w:rsidP="00CD0716">
      <w:r>
        <w:t>Ü</w:t>
      </w:r>
      <w:r w:rsidR="00DE29DD" w:rsidRPr="00DE29DD">
        <w:t xml:space="preserve">blicherweise bekommen </w:t>
      </w:r>
      <w:r>
        <w:t>S</w:t>
      </w:r>
      <w:r w:rsidR="00DE29DD" w:rsidRPr="00DE29DD">
        <w:t>ie die Wareneingänge aus der Vereinnahmung des ERP</w:t>
      </w:r>
      <w:r w:rsidR="00DF73B3">
        <w:t>-</w:t>
      </w:r>
      <w:r w:rsidR="00DE29DD" w:rsidRPr="00DE29DD">
        <w:t>Systems</w:t>
      </w:r>
      <w:r>
        <w:t xml:space="preserve"> in PDAP</w:t>
      </w:r>
      <w:r w:rsidR="00DE29DD" w:rsidRPr="00DE29DD">
        <w:t xml:space="preserve"> gemeldet und arbeiten </w:t>
      </w:r>
      <w:r>
        <w:t xml:space="preserve">hier, </w:t>
      </w:r>
      <w:r w:rsidR="00DE29DD" w:rsidRPr="00DE29DD">
        <w:t xml:space="preserve">ohne dass </w:t>
      </w:r>
      <w:r>
        <w:t>S</w:t>
      </w:r>
      <w:r w:rsidR="00DE29DD" w:rsidRPr="00DE29DD">
        <w:t xml:space="preserve">ie zusätzlich Wareneingänge </w:t>
      </w:r>
      <w:r>
        <w:t xml:space="preserve">im CAQ gesondert </w:t>
      </w:r>
      <w:r w:rsidR="00DE29DD" w:rsidRPr="00DE29DD">
        <w:t xml:space="preserve">erfassen </w:t>
      </w:r>
      <w:r w:rsidR="00AB1EE8">
        <w:t>wür</w:t>
      </w:r>
      <w:r w:rsidR="00930970">
        <w:t>den</w:t>
      </w:r>
      <w:r>
        <w:t>. D</w:t>
      </w:r>
      <w:r w:rsidR="00DE29DD" w:rsidRPr="00DE29DD">
        <w:t>ie Möglichkeit</w:t>
      </w:r>
      <w:r>
        <w:t xml:space="preserve"> zur Erfassung</w:t>
      </w:r>
      <w:r w:rsidR="00DE29DD" w:rsidRPr="00DE29DD">
        <w:t xml:space="preserve"> besteht optional</w:t>
      </w:r>
      <w:r>
        <w:t>,</w:t>
      </w:r>
      <w:r w:rsidR="00DE29DD" w:rsidRPr="00DE29DD">
        <w:t xml:space="preserve"> falls </w:t>
      </w:r>
      <w:r>
        <w:t>S</w:t>
      </w:r>
      <w:r w:rsidR="00DE29DD" w:rsidRPr="00DE29DD">
        <w:t>ie</w:t>
      </w:r>
      <w:r>
        <w:t xml:space="preserve"> z.B.</w:t>
      </w:r>
      <w:r w:rsidR="00DE29DD" w:rsidRPr="00DE29DD">
        <w:t xml:space="preserve"> eine Überlieferung bekommen oder Wareneingänge prüfen möchten</w:t>
      </w:r>
      <w:r>
        <w:t xml:space="preserve">, </w:t>
      </w:r>
      <w:r w:rsidR="00DE29DD" w:rsidRPr="00DE29DD">
        <w:t>die nicht über das ERP</w:t>
      </w:r>
      <w:r w:rsidR="00DF73B3">
        <w:t>-</w:t>
      </w:r>
      <w:r w:rsidR="00DE29DD" w:rsidRPr="00DE29DD">
        <w:t xml:space="preserve">System </w:t>
      </w:r>
      <w:r>
        <w:t>vereinnahmt</w:t>
      </w:r>
      <w:r w:rsidR="00DE29DD" w:rsidRPr="00DE29DD">
        <w:t xml:space="preserve"> wurde</w:t>
      </w:r>
      <w:r w:rsidR="00DE29DD">
        <w:t>n.</w:t>
      </w:r>
    </w:p>
    <w:p w14:paraId="17EE1BE5" w14:textId="32E07288" w:rsidR="00DE29DD" w:rsidRDefault="00DE29DD" w:rsidP="00CD0716">
      <w:r w:rsidRPr="00DE29DD">
        <w:t>Wareneingänge die im ERP</w:t>
      </w:r>
      <w:r w:rsidR="00DF73B3">
        <w:t>-</w:t>
      </w:r>
      <w:r w:rsidRPr="00DE29DD">
        <w:t>System nicht</w:t>
      </w:r>
      <w:r w:rsidR="00DF73B3">
        <w:t xml:space="preserve"> als</w:t>
      </w:r>
      <w:r w:rsidRPr="00DE29DD">
        <w:t xml:space="preserve"> qualitätsrelevant gekennzeichnet sind</w:t>
      </w:r>
      <w:r w:rsidR="001E6068">
        <w:t>,</w:t>
      </w:r>
      <w:r w:rsidRPr="00DE29DD">
        <w:t xml:space="preserve"> erscheinen üblicherweise nicht in der Prüfliste</w:t>
      </w:r>
      <w:r w:rsidR="001E6068">
        <w:t>,</w:t>
      </w:r>
      <w:r w:rsidRPr="00DE29DD">
        <w:t xml:space="preserve"> stehen aber bei Bedarf für die Beurteilung der Termin</w:t>
      </w:r>
      <w:r w:rsidR="001E6068">
        <w:t>q</w:t>
      </w:r>
      <w:r w:rsidRPr="00DE29DD">
        <w:t xml:space="preserve">ualität des jeweiligen Lieferanten </w:t>
      </w:r>
      <w:r w:rsidR="001E6068">
        <w:t>im Rahmen der</w:t>
      </w:r>
      <w:r w:rsidRPr="00DE29DD">
        <w:t xml:space="preserve"> Lieferantenbeurteilung</w:t>
      </w:r>
      <w:r w:rsidR="001E6068">
        <w:t xml:space="preserve"> zur Verfügung.</w:t>
      </w:r>
    </w:p>
    <w:p w14:paraId="731259B0" w14:textId="77777777" w:rsidR="00A75A52" w:rsidRDefault="00A75A52" w:rsidP="00A75A52">
      <w:pPr>
        <w:keepNext/>
      </w:pPr>
      <w:r>
        <w:rPr>
          <w:noProof/>
        </w:rPr>
        <w:lastRenderedPageBreak/>
        <w:drawing>
          <wp:inline distT="0" distB="0" distL="0" distR="0" wp14:anchorId="7BEBF081" wp14:editId="6928C463">
            <wp:extent cx="5760720" cy="3048635"/>
            <wp:effectExtent l="0" t="0" r="0" b="0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BA11" w14:textId="40A8ECD4" w:rsidR="00A75A52" w:rsidRDefault="00A75A52" w:rsidP="00A75A52">
      <w:pPr>
        <w:pStyle w:val="Beschriftung"/>
      </w:pPr>
      <w:r>
        <w:t xml:space="preserve">Abbildung </w:t>
      </w:r>
      <w:r w:rsidR="00B32155">
        <w:fldChar w:fldCharType="begin"/>
      </w:r>
      <w:r w:rsidR="00B32155">
        <w:instrText xml:space="preserve"> SEQ Abbildung \* ARABIC </w:instrText>
      </w:r>
      <w:r w:rsidR="00B32155">
        <w:fldChar w:fldCharType="separate"/>
      </w:r>
      <w:r w:rsidR="00C852A5">
        <w:rPr>
          <w:noProof/>
        </w:rPr>
        <w:t>1</w:t>
      </w:r>
      <w:r w:rsidR="00B32155">
        <w:rPr>
          <w:noProof/>
        </w:rPr>
        <w:fldChar w:fldCharType="end"/>
      </w:r>
      <w:r>
        <w:t>: Übersicht zu den laufenden Wareneingangsprüfungen</w:t>
      </w:r>
    </w:p>
    <w:p w14:paraId="59682983" w14:textId="4046FEE5" w:rsidR="00CD0716" w:rsidRDefault="00CD0716" w:rsidP="005B6373">
      <w:pPr>
        <w:pStyle w:val="berschrift1"/>
      </w:pPr>
      <w:r>
        <w:t>Übersicht</w:t>
      </w:r>
    </w:p>
    <w:p w14:paraId="7EAD6317" w14:textId="29DA5C04" w:rsidR="00A75A52" w:rsidRPr="00A75A52" w:rsidRDefault="007B5BBA" w:rsidP="00A75A52">
      <w:r>
        <w:t>Im Kopfbereich können Sie unter „Cockpit anzeigen“ wählen ob im oberen Bereich der Liste die Kennzahlentafeln zu den laufenden Vorgängen angezeigt werden sollen. Diese</w:t>
      </w:r>
      <w:r w:rsidR="00A75A52" w:rsidRPr="00A75A52">
        <w:t xml:space="preserve"> e</w:t>
      </w:r>
      <w:r w:rsidR="00364155">
        <w:t>nt</w:t>
      </w:r>
      <w:r w:rsidR="00A75A52" w:rsidRPr="00A75A52">
        <w:t>halten Informationen</w:t>
      </w:r>
      <w:r>
        <w:t xml:space="preserve">, </w:t>
      </w:r>
      <w:r w:rsidR="00A75A52" w:rsidRPr="00A75A52">
        <w:t xml:space="preserve">die </w:t>
      </w:r>
      <w:r>
        <w:t>I</w:t>
      </w:r>
      <w:r w:rsidR="00A75A52" w:rsidRPr="00A75A52">
        <w:t xml:space="preserve">hnen beim Prüfablauf erste Hinweise auf die Qualität </w:t>
      </w:r>
      <w:r>
        <w:t xml:space="preserve">der </w:t>
      </w:r>
      <w:r w:rsidR="00A75A52" w:rsidRPr="00A75A52">
        <w:t>Wareneing</w:t>
      </w:r>
      <w:r>
        <w:t>änge</w:t>
      </w:r>
      <w:r w:rsidR="00A75A52" w:rsidRPr="00A75A52">
        <w:t xml:space="preserve"> liefern</w:t>
      </w:r>
      <w:r w:rsidR="00A75A52">
        <w:t>.</w:t>
      </w:r>
    </w:p>
    <w:p w14:paraId="4A8AA7B0" w14:textId="0C7A69C1" w:rsidR="00CD0716" w:rsidRDefault="00CD0716" w:rsidP="005B6373">
      <w:pPr>
        <w:pStyle w:val="berschrift1"/>
      </w:pPr>
      <w:r>
        <w:t>Offene Vorgänge</w:t>
      </w:r>
    </w:p>
    <w:p w14:paraId="4F37CEEE" w14:textId="3908E044" w:rsidR="00DE29DD" w:rsidRPr="00DE29DD" w:rsidRDefault="00EE5F68" w:rsidP="00DE29DD">
      <w:r>
        <w:t>Bei den o</w:t>
      </w:r>
      <w:r w:rsidR="00B0148D" w:rsidRPr="00B0148D">
        <w:t>ffenen Vorgängen</w:t>
      </w:r>
      <w:r>
        <w:t>,</w:t>
      </w:r>
      <w:r w:rsidR="00B0148D" w:rsidRPr="00B0148D">
        <w:t xml:space="preserve"> werden alle Wareneingänge angezeigt</w:t>
      </w:r>
      <w:r>
        <w:t>,</w:t>
      </w:r>
      <w:r w:rsidR="00B0148D" w:rsidRPr="00B0148D">
        <w:t xml:space="preserve"> die</w:t>
      </w:r>
      <w:r>
        <w:t xml:space="preserve"> ungeprüft</w:t>
      </w:r>
      <w:r w:rsidR="00B0148D" w:rsidRPr="00B0148D">
        <w:t xml:space="preserve"> </w:t>
      </w:r>
      <w:r w:rsidR="007B5BBA">
        <w:t xml:space="preserve">oder </w:t>
      </w:r>
      <w:r w:rsidR="00B0148D" w:rsidRPr="00B0148D">
        <w:t>noch nicht fertig geprüft sind</w:t>
      </w:r>
      <w:r>
        <w:t>. E</w:t>
      </w:r>
      <w:r w:rsidR="00B0148D" w:rsidRPr="00B0148D">
        <w:t>s erfolgt eine Unte</w:t>
      </w:r>
      <w:r>
        <w:t xml:space="preserve">rscheidung </w:t>
      </w:r>
      <w:r w:rsidR="00B0148D" w:rsidRPr="00B0148D">
        <w:t xml:space="preserve">zwischen den </w:t>
      </w:r>
      <w:r>
        <w:t>p</w:t>
      </w:r>
      <w:r w:rsidR="00B0148D" w:rsidRPr="00B0148D">
        <w:t>riorisierten</w:t>
      </w:r>
      <w:r>
        <w:t xml:space="preserve"> Artikeln und den normalen Artikeln. Sofern die Wareneingänge nicht </w:t>
      </w:r>
      <w:r w:rsidR="00B0148D" w:rsidRPr="00B0148D">
        <w:t>zeitnah geprüft werden</w:t>
      </w:r>
      <w:r>
        <w:t>, erfolgt eine Darstellung der jeweiligen Anzahl der Vorgänge in</w:t>
      </w:r>
      <w:r w:rsidR="00B0148D" w:rsidRPr="00B0148D">
        <w:t xml:space="preserve"> </w:t>
      </w:r>
      <w:r>
        <w:t>r</w:t>
      </w:r>
      <w:r w:rsidR="00B0148D" w:rsidRPr="00B0148D">
        <w:t>oter Farbe</w:t>
      </w:r>
      <w:r>
        <w:t xml:space="preserve">. </w:t>
      </w:r>
      <w:r w:rsidR="007B5BBA">
        <w:t>Per Voreinstellung werden priorisierte Vorgänge, die nicht innerhalb eines Tage</w:t>
      </w:r>
      <w:r w:rsidR="00364155">
        <w:t>s</w:t>
      </w:r>
      <w:r w:rsidR="007B5BBA">
        <w:t xml:space="preserve"> geprüft werden, in roter Farbe angezeigt. Bei den normalen Vorgängen ist die Voreinstellung 3 Tage.</w:t>
      </w:r>
    </w:p>
    <w:p w14:paraId="6F061FA3" w14:textId="2490703D" w:rsidR="00CD0716" w:rsidRDefault="00CD0716" w:rsidP="005B6373">
      <w:pPr>
        <w:pStyle w:val="berschrift1"/>
      </w:pPr>
      <w:r>
        <w:t>Termintreu</w:t>
      </w:r>
      <w:r w:rsidR="00364155">
        <w:t>e</w:t>
      </w:r>
    </w:p>
    <w:p w14:paraId="6F0F180D" w14:textId="79228893" w:rsidR="00516009" w:rsidRPr="00516009" w:rsidRDefault="00516009" w:rsidP="00516009">
      <w:r w:rsidRPr="00516009">
        <w:t>Die Darstellung der Termintreue zeigt die Abweichungen zwischen dem gewünschten</w:t>
      </w:r>
      <w:r w:rsidR="00742BB8">
        <w:t>,</w:t>
      </w:r>
      <w:r w:rsidRPr="00516009">
        <w:t xml:space="preserve"> beziehungsweise bestätigten Liefertermin und dem tatsächlichen Wareneingangsdatum an</w:t>
      </w:r>
      <w:r w:rsidR="00F97463">
        <w:t>. D</w:t>
      </w:r>
      <w:r w:rsidRPr="00516009">
        <w:t>ie Einstufung der prozentualen Einteilung in A</w:t>
      </w:r>
      <w:r w:rsidR="00F97463">
        <w:t xml:space="preserve">, </w:t>
      </w:r>
      <w:r w:rsidRPr="00516009">
        <w:t>B oder C</w:t>
      </w:r>
      <w:r w:rsidR="007C7EE9">
        <w:t>-</w:t>
      </w:r>
      <w:r w:rsidR="00F97463">
        <w:t>Kategorien erfolgt</w:t>
      </w:r>
      <w:r w:rsidRPr="00516009">
        <w:t xml:space="preserve"> jeweils mit der Kennzeichnung Grün</w:t>
      </w:r>
      <w:r w:rsidR="00F97463">
        <w:t>,</w:t>
      </w:r>
      <w:r w:rsidRPr="00516009">
        <w:t xml:space="preserve"> Gelb oder Rot</w:t>
      </w:r>
      <w:r w:rsidR="00F97463">
        <w:t>. Sie wird ü</w:t>
      </w:r>
      <w:r w:rsidRPr="00516009">
        <w:t xml:space="preserve">ber die Vorgaben zur Lieferantenbeurteilung </w:t>
      </w:r>
      <w:r w:rsidR="00F97463">
        <w:t>vorgegeben (</w:t>
      </w:r>
      <w:r w:rsidR="00F97463" w:rsidRPr="00516009">
        <w:t>sie</w:t>
      </w:r>
      <w:r w:rsidR="00F97463">
        <w:t xml:space="preserve">he </w:t>
      </w:r>
      <w:hyperlink r:id="rId9" w:history="1">
        <w:r w:rsidR="00F97463" w:rsidRPr="00F514DF">
          <w:rPr>
            <w:rStyle w:val="Hyperlink"/>
          </w:rPr>
          <w:t>Lieferantenbeurteilung</w:t>
        </w:r>
      </w:hyperlink>
      <w:r w:rsidR="00F97463">
        <w:t>…. ).</w:t>
      </w:r>
    </w:p>
    <w:p w14:paraId="3190069B" w14:textId="7C4DB832" w:rsidR="00CD0716" w:rsidRDefault="00CD0716" w:rsidP="005B6373">
      <w:pPr>
        <w:pStyle w:val="berschrift1"/>
      </w:pPr>
      <w:r>
        <w:t>Mengentreue</w:t>
      </w:r>
    </w:p>
    <w:p w14:paraId="4CA05F48" w14:textId="11EB0A8D" w:rsidR="00302740" w:rsidRPr="00302740" w:rsidRDefault="00302740" w:rsidP="00302740">
      <w:r>
        <w:t xml:space="preserve">In dieser Anzeige erkennen Sie, ob die aktuellen Liefermengen, den bestellten Mengen entsprechen oder ob es </w:t>
      </w:r>
      <w:r w:rsidR="00F514DF">
        <w:t>Abweichungen</w:t>
      </w:r>
      <w:r>
        <w:t xml:space="preserve"> gibt</w:t>
      </w:r>
      <w:r w:rsidR="00467546">
        <w:t>.</w:t>
      </w:r>
      <w:r w:rsidR="00516009">
        <w:t xml:space="preserve"> </w:t>
      </w:r>
      <w:r w:rsidR="00F514DF">
        <w:t>D</w:t>
      </w:r>
      <w:r w:rsidR="00516009" w:rsidRPr="00516009">
        <w:t xml:space="preserve">ie Einstufung der Klassifizierung </w:t>
      </w:r>
      <w:r w:rsidR="00F514DF">
        <w:t>in A, B</w:t>
      </w:r>
      <w:r w:rsidR="00516009" w:rsidRPr="00516009">
        <w:t xml:space="preserve"> oder C </w:t>
      </w:r>
      <w:r w:rsidR="007C7EE9">
        <w:t xml:space="preserve">- </w:t>
      </w:r>
      <w:r w:rsidR="00516009" w:rsidRPr="00516009">
        <w:t>beziehungsweise respektive Grün</w:t>
      </w:r>
      <w:r w:rsidR="00F514DF">
        <w:t>,</w:t>
      </w:r>
      <w:r w:rsidR="00516009" w:rsidRPr="00516009">
        <w:t xml:space="preserve"> Gelb oder Rot</w:t>
      </w:r>
      <w:r w:rsidR="00F514DF">
        <w:t>,</w:t>
      </w:r>
      <w:r w:rsidR="00516009" w:rsidRPr="00516009">
        <w:t xml:space="preserve"> erfolgt wiederum über die Vorgaben zur Lieferantenbeurteilung </w:t>
      </w:r>
      <w:r w:rsidR="00F514DF">
        <w:t>(</w:t>
      </w:r>
      <w:r w:rsidR="00516009" w:rsidRPr="00516009">
        <w:t>sie</w:t>
      </w:r>
      <w:r w:rsidR="00F514DF">
        <w:t xml:space="preserve">he </w:t>
      </w:r>
      <w:hyperlink r:id="rId10" w:history="1">
        <w:r w:rsidR="00F514DF" w:rsidRPr="00F514DF">
          <w:rPr>
            <w:rStyle w:val="Hyperlink"/>
          </w:rPr>
          <w:t>L</w:t>
        </w:r>
        <w:r w:rsidR="00516009" w:rsidRPr="00F514DF">
          <w:rPr>
            <w:rStyle w:val="Hyperlink"/>
          </w:rPr>
          <w:t>ieferantenbeurteilung</w:t>
        </w:r>
      </w:hyperlink>
      <w:r w:rsidR="00516009">
        <w:t>….</w:t>
      </w:r>
      <w:r w:rsidR="00F514DF">
        <w:t xml:space="preserve"> )</w:t>
      </w:r>
      <w:r w:rsidR="00F97463">
        <w:t>.</w:t>
      </w:r>
    </w:p>
    <w:p w14:paraId="560E780F" w14:textId="532A04DB" w:rsidR="00CD0716" w:rsidRDefault="00CD0716" w:rsidP="005B6373">
      <w:pPr>
        <w:pStyle w:val="berschrift1"/>
      </w:pPr>
      <w:r>
        <w:lastRenderedPageBreak/>
        <w:t>Stoßzeiten</w:t>
      </w:r>
      <w:r w:rsidR="005B6373">
        <w:t xml:space="preserve"> zu den Anlieferungen</w:t>
      </w:r>
    </w:p>
    <w:p w14:paraId="5E577A1F" w14:textId="4CBF7BF1" w:rsidR="00CD0716" w:rsidRDefault="005B6373" w:rsidP="00CD0716">
      <w:r>
        <w:t xml:space="preserve">Bei den </w:t>
      </w:r>
      <w:r w:rsidR="00516009">
        <w:t>Stoßzeiten</w:t>
      </w:r>
      <w:r>
        <w:t xml:space="preserve"> </w:t>
      </w:r>
      <w:r w:rsidR="00516009">
        <w:t>erkennen</w:t>
      </w:r>
      <w:r>
        <w:t xml:space="preserve"> Sie an </w:t>
      </w:r>
      <w:r w:rsidR="00516009">
        <w:t>welchen</w:t>
      </w:r>
      <w:r>
        <w:t xml:space="preserve"> Wochentagen i</w:t>
      </w:r>
      <w:r w:rsidR="00516009">
        <w:t>m</w:t>
      </w:r>
      <w:r>
        <w:t xml:space="preserve"> </w:t>
      </w:r>
      <w:r w:rsidR="00516009">
        <w:t>Durchschnitt</w:t>
      </w:r>
      <w:r>
        <w:t xml:space="preserve"> die m</w:t>
      </w:r>
      <w:r w:rsidR="00516009">
        <w:t>e</w:t>
      </w:r>
      <w:r>
        <w:t xml:space="preserve">isten </w:t>
      </w:r>
      <w:r w:rsidR="00516009">
        <w:t>Anlieferungen stattfinden</w:t>
      </w:r>
      <w:r>
        <w:t xml:space="preserve">. An diesen Tagen sollten Sie </w:t>
      </w:r>
      <w:r w:rsidR="00516009">
        <w:t>sicherstellen</w:t>
      </w:r>
      <w:r>
        <w:t xml:space="preserve">, dass genügend Prüfpersonal </w:t>
      </w:r>
      <w:r w:rsidR="00516009">
        <w:t>v</w:t>
      </w:r>
      <w:r>
        <w:t>orgehalten wird.</w:t>
      </w:r>
    </w:p>
    <w:p w14:paraId="470D9A79" w14:textId="3F930653" w:rsidR="005B6373" w:rsidRDefault="00516009" w:rsidP="007C7EE9">
      <w:pPr>
        <w:pStyle w:val="berschrift1"/>
      </w:pPr>
      <w:r>
        <w:t>E</w:t>
      </w:r>
      <w:r w:rsidRPr="00516009">
        <w:t>in</w:t>
      </w:r>
      <w:r>
        <w:t>-</w:t>
      </w:r>
      <w:r w:rsidRPr="00516009">
        <w:t xml:space="preserve"> und </w:t>
      </w:r>
      <w:r>
        <w:t>a</w:t>
      </w:r>
      <w:r w:rsidRPr="00516009">
        <w:t>usblenden des Kennzahlencockpits</w:t>
      </w:r>
    </w:p>
    <w:p w14:paraId="058224B0" w14:textId="01006E03" w:rsidR="00E444E5" w:rsidRPr="00E444E5" w:rsidRDefault="00E444E5" w:rsidP="00E444E5">
      <w:r w:rsidRPr="00E444E5">
        <w:t>Das Cockpit kann je nach Prüferanforderungen ein- oder ausgeblendet werden, um bei Bedarf mehr Platz für die</w:t>
      </w:r>
      <w:r w:rsidR="00516009">
        <w:t xml:space="preserve"> Darstellung der</w:t>
      </w:r>
      <w:r w:rsidRPr="00E444E5">
        <w:t xml:space="preserve"> Prüfliste zu schaffen</w:t>
      </w:r>
      <w:r w:rsidR="00516009">
        <w:t>.</w:t>
      </w:r>
    </w:p>
    <w:p w14:paraId="4B5BC245" w14:textId="331F4D78" w:rsidR="005B6373" w:rsidRPr="00C32178" w:rsidRDefault="006761E1" w:rsidP="00CD0716">
      <w:pPr>
        <w:rPr>
          <w:rStyle w:val="SchwacheHervorhebung"/>
        </w:rPr>
      </w:pPr>
      <w:hyperlink r:id="rId11" w:history="1">
        <w:r w:rsidR="00742BB8" w:rsidRPr="006761E1">
          <w:rPr>
            <w:rStyle w:val="Hyperlink"/>
          </w:rPr>
          <w:t>Download als PDF:</w:t>
        </w:r>
      </w:hyperlink>
    </w:p>
    <w:sectPr w:rsidR="005B6373" w:rsidRPr="00C3217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454D" w14:textId="77777777" w:rsidR="00B32155" w:rsidRDefault="00B32155" w:rsidP="00A57395">
      <w:pPr>
        <w:spacing w:after="0" w:line="240" w:lineRule="auto"/>
      </w:pPr>
      <w:r>
        <w:separator/>
      </w:r>
    </w:p>
  </w:endnote>
  <w:endnote w:type="continuationSeparator" w:id="0">
    <w:p w14:paraId="23497FD1" w14:textId="77777777" w:rsidR="00B32155" w:rsidRDefault="00B32155" w:rsidP="00A5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8E46" w14:textId="69CCD0B7" w:rsidR="00A57395" w:rsidRPr="00A57395" w:rsidRDefault="00A57395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</w:t>
    </w:r>
    <w:proofErr w:type="spellStart"/>
    <w:r>
      <w:rPr>
        <w:sz w:val="16"/>
        <w:szCs w:val="16"/>
      </w:rPr>
      <w:t>JessenLenz</w:t>
    </w:r>
    <w:proofErr w:type="spellEnd"/>
    <w:r>
      <w:rPr>
        <w:sz w:val="16"/>
        <w:szCs w:val="16"/>
      </w:rPr>
      <w:t xml:space="preserve"> GmbH | </w:t>
    </w:r>
    <w:proofErr w:type="spellStart"/>
    <w:r>
      <w:rPr>
        <w:sz w:val="16"/>
        <w:szCs w:val="16"/>
      </w:rPr>
      <w:t>Steinmetzstrasse</w:t>
    </w:r>
    <w:proofErr w:type="spellEnd"/>
    <w:r>
      <w:rPr>
        <w:sz w:val="16"/>
        <w:szCs w:val="16"/>
      </w:rPr>
      <w:t xml:space="preserve">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7846" w14:textId="77777777" w:rsidR="00B32155" w:rsidRDefault="00B32155" w:rsidP="00A57395">
      <w:pPr>
        <w:spacing w:after="0" w:line="240" w:lineRule="auto"/>
      </w:pPr>
      <w:r>
        <w:separator/>
      </w:r>
    </w:p>
  </w:footnote>
  <w:footnote w:type="continuationSeparator" w:id="0">
    <w:p w14:paraId="1B377746" w14:textId="77777777" w:rsidR="00B32155" w:rsidRDefault="00B32155" w:rsidP="00A5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BDB4" w14:textId="30EC8283" w:rsidR="00A57395" w:rsidRDefault="00A57395" w:rsidP="00A57395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732AFE5F" wp14:editId="536D73BA">
          <wp:extent cx="771525" cy="359410"/>
          <wp:effectExtent l="0" t="0" r="9525" b="254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9"/>
    <w:rsid w:val="00007913"/>
    <w:rsid w:val="000D0158"/>
    <w:rsid w:val="0013720B"/>
    <w:rsid w:val="001A69AD"/>
    <w:rsid w:val="001E6068"/>
    <w:rsid w:val="00302740"/>
    <w:rsid w:val="00364155"/>
    <w:rsid w:val="0041355C"/>
    <w:rsid w:val="00467546"/>
    <w:rsid w:val="0049275E"/>
    <w:rsid w:val="00516009"/>
    <w:rsid w:val="00560423"/>
    <w:rsid w:val="005B6373"/>
    <w:rsid w:val="006761E1"/>
    <w:rsid w:val="00715607"/>
    <w:rsid w:val="00742BB8"/>
    <w:rsid w:val="007A1299"/>
    <w:rsid w:val="007B5BBA"/>
    <w:rsid w:val="007C186A"/>
    <w:rsid w:val="007C7EE9"/>
    <w:rsid w:val="00930970"/>
    <w:rsid w:val="00936072"/>
    <w:rsid w:val="00A57395"/>
    <w:rsid w:val="00A75A52"/>
    <w:rsid w:val="00AB1EE8"/>
    <w:rsid w:val="00B0148D"/>
    <w:rsid w:val="00B32155"/>
    <w:rsid w:val="00B611A1"/>
    <w:rsid w:val="00BB5B8D"/>
    <w:rsid w:val="00C32178"/>
    <w:rsid w:val="00C43702"/>
    <w:rsid w:val="00C53AD4"/>
    <w:rsid w:val="00C6066B"/>
    <w:rsid w:val="00C852A5"/>
    <w:rsid w:val="00CD0716"/>
    <w:rsid w:val="00DE29DD"/>
    <w:rsid w:val="00DF1A2E"/>
    <w:rsid w:val="00DF73B3"/>
    <w:rsid w:val="00E01B3A"/>
    <w:rsid w:val="00E323F3"/>
    <w:rsid w:val="00E444E5"/>
    <w:rsid w:val="00E80F59"/>
    <w:rsid w:val="00EE5F68"/>
    <w:rsid w:val="00F10AE1"/>
    <w:rsid w:val="00F514DF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A01"/>
  <w15:chartTrackingRefBased/>
  <w15:docId w15:val="{961EE5C4-913C-4511-88BF-B5BC769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6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CD0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0716"/>
    <w:rPr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CD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715607"/>
    <w:rPr>
      <w:i/>
      <w:iCs/>
      <w:color w:val="4472C4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A75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60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514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4DF"/>
    <w:rPr>
      <w:color w:val="605E5C"/>
      <w:shd w:val="clear" w:color="auto" w:fill="E1DFDD"/>
    </w:rPr>
  </w:style>
  <w:style w:type="character" w:styleId="SchwacherVerweis">
    <w:name w:val="Subtle Reference"/>
    <w:basedOn w:val="Absatz-Standardschriftart"/>
    <w:uiPriority w:val="31"/>
    <w:qFormat/>
    <w:rsid w:val="00C53AD4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C32178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A5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395"/>
  </w:style>
  <w:style w:type="paragraph" w:styleId="Fuzeile">
    <w:name w:val="footer"/>
    <w:basedOn w:val="Standard"/>
    <w:link w:val="FuzeileZchn"/>
    <w:uiPriority w:val="99"/>
    <w:unhideWhenUsed/>
    <w:rsid w:val="00A5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dap.de/wp-content/uploads/2016/03/brandshots/Cockpit%20WE%20Bearbeite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dap.de/faq-2/lieferantenbewertung-zur-liefertreue-und-fehlerraten-mit-matrixanaly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p.de/faq-2/lieferantenbewertung-zur-liefertreue-und-fehlerraten-mit-matrixanaly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8255-2F50-4663-8966-6E15DE7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41</cp:revision>
  <cp:lastPrinted>2022-02-15T17:58:00Z</cp:lastPrinted>
  <dcterms:created xsi:type="dcterms:W3CDTF">2022-02-15T13:09:00Z</dcterms:created>
  <dcterms:modified xsi:type="dcterms:W3CDTF">2022-02-15T17:58:00Z</dcterms:modified>
</cp:coreProperties>
</file>